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953C5" w14:textId="77777777" w:rsidR="00633316" w:rsidRPr="00633316" w:rsidRDefault="00633316" w:rsidP="00633316">
      <w:pPr>
        <w:pStyle w:val="ListParagraph"/>
        <w:spacing w:after="0"/>
        <w:ind w:left="0" w:right="-270" w:firstLine="720"/>
        <w:jc w:val="center"/>
        <w:rPr>
          <w:rFonts w:ascii="Cambria" w:hAnsi="Cambria" w:cs="Times New Roman"/>
          <w:b/>
          <w:sz w:val="24"/>
          <w:szCs w:val="24"/>
        </w:rPr>
      </w:pPr>
    </w:p>
    <w:p w14:paraId="2CEFA80D" w14:textId="77777777" w:rsidR="00633316" w:rsidRPr="00633316" w:rsidRDefault="00633316" w:rsidP="00633316">
      <w:pPr>
        <w:jc w:val="center"/>
        <w:rPr>
          <w:rFonts w:ascii="Cambria" w:hAnsi="Cambria" w:cs="Times New Roman"/>
          <w:b/>
          <w:sz w:val="28"/>
          <w:szCs w:val="28"/>
        </w:rPr>
      </w:pPr>
    </w:p>
    <w:p w14:paraId="010EBB64" w14:textId="77777777" w:rsidR="00633316" w:rsidRPr="00633316" w:rsidRDefault="00633316" w:rsidP="00633316">
      <w:pPr>
        <w:jc w:val="center"/>
        <w:rPr>
          <w:rFonts w:ascii="Cambria" w:hAnsi="Cambria" w:cs="Times New Roman"/>
          <w:b/>
          <w:bCs/>
          <w:sz w:val="28"/>
          <w:szCs w:val="28"/>
        </w:rPr>
      </w:pPr>
      <w:r w:rsidRPr="00633316">
        <w:rPr>
          <w:rFonts w:ascii="Cambria" w:hAnsi="Cambria" w:cs="Times New Roman"/>
          <w:b/>
          <w:sz w:val="28"/>
          <w:szCs w:val="28"/>
        </w:rPr>
        <w:t xml:space="preserve">Major achievements in the year 2024-25 </w:t>
      </w:r>
      <w:r w:rsidRPr="00633316">
        <w:rPr>
          <w:rFonts w:ascii="Cambria" w:hAnsi="Cambria"/>
          <w:b/>
          <w:bCs/>
          <w:sz w:val="28"/>
          <w:szCs w:val="28"/>
        </w:rPr>
        <w:t>(up to 27.11.2024)</w:t>
      </w:r>
    </w:p>
    <w:p w14:paraId="2D379570" w14:textId="77777777" w:rsidR="00633316" w:rsidRPr="00633316" w:rsidRDefault="00633316" w:rsidP="00633316">
      <w:pPr>
        <w:pStyle w:val="ListParagraph"/>
        <w:spacing w:after="0"/>
        <w:ind w:left="0" w:right="-270" w:firstLine="720"/>
        <w:jc w:val="center"/>
        <w:rPr>
          <w:rFonts w:ascii="Cambria" w:hAnsi="Cambria" w:cs="Times New Roman"/>
          <w:b/>
          <w:sz w:val="24"/>
          <w:szCs w:val="24"/>
        </w:rPr>
      </w:pPr>
    </w:p>
    <w:p w14:paraId="486CC6AD" w14:textId="77777777" w:rsidR="00633316" w:rsidRPr="00633316" w:rsidRDefault="00633316" w:rsidP="00633316">
      <w:pPr>
        <w:pStyle w:val="ListParagraph"/>
        <w:spacing w:after="0"/>
        <w:ind w:left="0" w:right="-270" w:firstLine="720"/>
        <w:jc w:val="both"/>
        <w:rPr>
          <w:rFonts w:ascii="Cambria" w:hAnsi="Cambria" w:cs="Times New Roman"/>
          <w:i/>
          <w:sz w:val="24"/>
          <w:szCs w:val="24"/>
        </w:rPr>
      </w:pPr>
      <w:r w:rsidRPr="00633316">
        <w:rPr>
          <w:rFonts w:ascii="Cambria" w:hAnsi="Cambria" w:cs="Times New Roman"/>
          <w:b/>
          <w:sz w:val="24"/>
          <w:szCs w:val="24"/>
          <w:u w:val="single"/>
        </w:rPr>
        <w:t>Name of Department:</w:t>
      </w:r>
      <w:r w:rsidRPr="00633316">
        <w:rPr>
          <w:rFonts w:ascii="Cambria" w:hAnsi="Cambria" w:cs="Times New Roman"/>
          <w:b/>
          <w:sz w:val="24"/>
          <w:szCs w:val="24"/>
        </w:rPr>
        <w:t xml:space="preserve"> </w:t>
      </w:r>
      <w:r w:rsidRPr="00633316">
        <w:rPr>
          <w:rFonts w:ascii="Cambria" w:hAnsi="Cambria" w:cs="Times New Roman"/>
          <w:b/>
          <w:sz w:val="24"/>
          <w:szCs w:val="24"/>
        </w:rPr>
        <w:tab/>
      </w:r>
      <w:r w:rsidRPr="00633316">
        <w:rPr>
          <w:rFonts w:ascii="Cambria" w:hAnsi="Cambria" w:cs="Times New Roman"/>
          <w:b/>
          <w:sz w:val="24"/>
          <w:szCs w:val="24"/>
        </w:rPr>
        <w:tab/>
      </w:r>
      <w:r w:rsidRPr="00633316">
        <w:rPr>
          <w:rFonts w:ascii="Cambria" w:hAnsi="Cambria" w:cs="Times New Roman"/>
          <w:iCs/>
          <w:sz w:val="24"/>
          <w:szCs w:val="24"/>
          <w:u w:val="single"/>
        </w:rPr>
        <w:t>General Administration (Political) Department</w:t>
      </w:r>
      <w:r w:rsidRPr="00633316">
        <w:rPr>
          <w:rFonts w:ascii="Cambria" w:hAnsi="Cambria" w:cs="Times New Roman"/>
          <w:i/>
          <w:sz w:val="24"/>
          <w:szCs w:val="24"/>
        </w:rPr>
        <w:tab/>
      </w:r>
    </w:p>
    <w:p w14:paraId="100EA9CA" w14:textId="77777777" w:rsidR="00633316" w:rsidRPr="00633316" w:rsidRDefault="00633316" w:rsidP="00633316">
      <w:pPr>
        <w:pStyle w:val="ListParagraph"/>
        <w:spacing w:after="0"/>
        <w:ind w:left="0" w:right="-270" w:firstLine="720"/>
        <w:jc w:val="both"/>
        <w:rPr>
          <w:rFonts w:ascii="Cambria" w:hAnsi="Cambria" w:cs="Times New Roman"/>
          <w:b/>
          <w:sz w:val="24"/>
          <w:szCs w:val="24"/>
        </w:rPr>
      </w:pPr>
    </w:p>
    <w:tbl>
      <w:tblPr>
        <w:tblStyle w:val="TableGrid"/>
        <w:tblW w:w="10774" w:type="dxa"/>
        <w:tblInd w:w="-856" w:type="dxa"/>
        <w:tblLook w:val="04A0" w:firstRow="1" w:lastRow="0" w:firstColumn="1" w:lastColumn="0" w:noHBand="0" w:noVBand="1"/>
      </w:tblPr>
      <w:tblGrid>
        <w:gridCol w:w="10774"/>
      </w:tblGrid>
      <w:tr w:rsidR="00633316" w:rsidRPr="00633316" w14:paraId="79AD7896" w14:textId="77777777" w:rsidTr="00633316">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45864" w14:textId="77777777" w:rsidR="00633316" w:rsidRPr="00633316" w:rsidRDefault="00633316" w:rsidP="007C4614">
            <w:pPr>
              <w:pStyle w:val="ListParagraph"/>
              <w:ind w:left="0" w:right="-270"/>
              <w:jc w:val="center"/>
              <w:rPr>
                <w:rFonts w:ascii="Cambria" w:hAnsi="Cambria" w:cs="Times New Roman"/>
                <w:b/>
                <w:sz w:val="24"/>
                <w:szCs w:val="24"/>
              </w:rPr>
            </w:pPr>
          </w:p>
          <w:p w14:paraId="5F0FBC08" w14:textId="77777777" w:rsidR="00633316" w:rsidRPr="00633316" w:rsidRDefault="00633316" w:rsidP="007C4614">
            <w:pPr>
              <w:pStyle w:val="ListParagraph"/>
              <w:ind w:left="0" w:right="-270"/>
              <w:jc w:val="center"/>
              <w:rPr>
                <w:rFonts w:ascii="Cambria" w:hAnsi="Cambria" w:cs="Times New Roman"/>
                <w:b/>
                <w:sz w:val="24"/>
                <w:szCs w:val="24"/>
              </w:rPr>
            </w:pPr>
          </w:p>
        </w:tc>
      </w:tr>
      <w:tr w:rsidR="00633316" w:rsidRPr="00633316" w14:paraId="37063561" w14:textId="77777777" w:rsidTr="00633316">
        <w:trPr>
          <w:trHeight w:val="603"/>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219" w14:textId="77777777" w:rsidR="00633316" w:rsidRPr="00633316" w:rsidRDefault="00633316" w:rsidP="007C4614">
            <w:pPr>
              <w:pStyle w:val="ListParagraph"/>
              <w:ind w:left="0" w:right="5"/>
              <w:jc w:val="center"/>
              <w:rPr>
                <w:rFonts w:ascii="Cambria" w:hAnsi="Cambria" w:cs="Times New Roman"/>
                <w:b/>
                <w:bCs/>
                <w:sz w:val="24"/>
                <w:szCs w:val="24"/>
                <w:u w:val="single"/>
              </w:rPr>
            </w:pPr>
            <w:r w:rsidRPr="00633316">
              <w:rPr>
                <w:rFonts w:ascii="Cambria" w:hAnsi="Cambria" w:cs="Times New Roman"/>
                <w:b/>
                <w:bCs/>
                <w:sz w:val="24"/>
                <w:szCs w:val="24"/>
                <w:u w:val="single"/>
              </w:rPr>
              <w:t>State Hospitalities</w:t>
            </w:r>
          </w:p>
          <w:p w14:paraId="5DDB0972" w14:textId="77777777" w:rsidR="00633316" w:rsidRPr="00633316" w:rsidRDefault="00633316" w:rsidP="00633316">
            <w:pPr>
              <w:pStyle w:val="ListParagraph"/>
              <w:numPr>
                <w:ilvl w:val="0"/>
                <w:numId w:val="6"/>
              </w:numPr>
              <w:spacing w:after="0" w:line="240" w:lineRule="auto"/>
              <w:ind w:left="358" w:right="5"/>
              <w:jc w:val="both"/>
              <w:rPr>
                <w:rFonts w:ascii="Cambria" w:hAnsi="Cambria"/>
                <w:sz w:val="24"/>
                <w:szCs w:val="24"/>
              </w:rPr>
            </w:pPr>
            <w:r w:rsidRPr="00633316">
              <w:rPr>
                <w:rFonts w:ascii="Cambria" w:hAnsi="Cambria"/>
                <w:sz w:val="24"/>
                <w:szCs w:val="24"/>
              </w:rPr>
              <w:t>During the period, total 118 (one hundred and eighteen) numbers of visitors were declared as State Guests and 90 (ninety) numbers of visitors were declared as Government Guests during their visit to Tripura.</w:t>
            </w:r>
          </w:p>
        </w:tc>
      </w:tr>
      <w:tr w:rsidR="00633316" w:rsidRPr="00633316" w14:paraId="1FA5FCC8" w14:textId="77777777" w:rsidTr="00633316">
        <w:trPr>
          <w:trHeight w:val="515"/>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043A9159" w14:textId="77777777" w:rsidR="00633316" w:rsidRPr="00633316" w:rsidRDefault="00633316" w:rsidP="007C4614">
            <w:pPr>
              <w:pStyle w:val="ListParagraph"/>
              <w:ind w:left="0" w:right="5"/>
              <w:jc w:val="center"/>
              <w:rPr>
                <w:rFonts w:ascii="Cambria" w:hAnsi="Cambria" w:cs="Times New Roman"/>
                <w:b/>
                <w:bCs/>
                <w:sz w:val="24"/>
                <w:szCs w:val="24"/>
                <w:u w:val="single"/>
              </w:rPr>
            </w:pPr>
            <w:r w:rsidRPr="00633316">
              <w:rPr>
                <w:rFonts w:ascii="Cambria" w:hAnsi="Cambria" w:cs="Times New Roman"/>
                <w:b/>
                <w:bCs/>
                <w:sz w:val="24"/>
                <w:szCs w:val="24"/>
                <w:u w:val="single"/>
              </w:rPr>
              <w:t>Observance of National Days</w:t>
            </w:r>
          </w:p>
          <w:p w14:paraId="55E6C545" w14:textId="77777777" w:rsidR="00633316" w:rsidRPr="00633316" w:rsidRDefault="00633316" w:rsidP="00633316">
            <w:pPr>
              <w:pStyle w:val="ListParagraph"/>
              <w:numPr>
                <w:ilvl w:val="0"/>
                <w:numId w:val="7"/>
              </w:numPr>
              <w:spacing w:after="0" w:line="240" w:lineRule="auto"/>
              <w:ind w:left="358" w:right="5"/>
              <w:jc w:val="both"/>
              <w:rPr>
                <w:rFonts w:ascii="Cambria" w:hAnsi="Cambria"/>
                <w:sz w:val="24"/>
                <w:szCs w:val="24"/>
              </w:rPr>
            </w:pPr>
            <w:r w:rsidRPr="00633316">
              <w:rPr>
                <w:rFonts w:ascii="Cambria" w:hAnsi="Cambria"/>
                <w:sz w:val="24"/>
                <w:szCs w:val="24"/>
              </w:rPr>
              <w:t xml:space="preserve">Independence Day-2024 was observed throughout the State in befitting manner. </w:t>
            </w:r>
          </w:p>
          <w:p w14:paraId="112ABBEA" w14:textId="77777777" w:rsidR="00633316" w:rsidRPr="00633316" w:rsidRDefault="00633316" w:rsidP="00633316">
            <w:pPr>
              <w:pStyle w:val="ListParagraph"/>
              <w:numPr>
                <w:ilvl w:val="0"/>
                <w:numId w:val="7"/>
              </w:numPr>
              <w:spacing w:after="0" w:line="240" w:lineRule="auto"/>
              <w:ind w:left="358" w:right="5"/>
              <w:jc w:val="both"/>
              <w:rPr>
                <w:rFonts w:ascii="Cambria" w:hAnsi="Cambria"/>
                <w:sz w:val="24"/>
                <w:szCs w:val="24"/>
              </w:rPr>
            </w:pPr>
            <w:r w:rsidRPr="00633316">
              <w:rPr>
                <w:rFonts w:ascii="Cambria" w:hAnsi="Cambria"/>
                <w:sz w:val="24"/>
                <w:szCs w:val="24"/>
              </w:rPr>
              <w:t xml:space="preserve">Gandhi Jayanti and Rashtriya Ekta Diwas </w:t>
            </w:r>
            <w:proofErr w:type="gramStart"/>
            <w:r w:rsidRPr="00633316">
              <w:rPr>
                <w:rFonts w:ascii="Cambria" w:hAnsi="Cambria"/>
                <w:sz w:val="24"/>
                <w:szCs w:val="24"/>
              </w:rPr>
              <w:t>were  also</w:t>
            </w:r>
            <w:proofErr w:type="gramEnd"/>
            <w:r w:rsidRPr="00633316">
              <w:rPr>
                <w:rFonts w:ascii="Cambria" w:hAnsi="Cambria"/>
                <w:sz w:val="24"/>
                <w:szCs w:val="24"/>
              </w:rPr>
              <w:t xml:space="preserve"> observed with full conformity.                  </w:t>
            </w:r>
          </w:p>
          <w:p w14:paraId="2F77BD4D" w14:textId="77777777" w:rsidR="00633316" w:rsidRPr="00633316" w:rsidRDefault="00633316" w:rsidP="007C4614">
            <w:pPr>
              <w:pStyle w:val="ListParagraph"/>
              <w:ind w:left="766" w:right="5"/>
              <w:jc w:val="both"/>
              <w:rPr>
                <w:rFonts w:ascii="Cambria" w:hAnsi="Cambria" w:cs="Times New Roman"/>
                <w:sz w:val="24"/>
                <w:szCs w:val="24"/>
              </w:rPr>
            </w:pPr>
          </w:p>
        </w:tc>
      </w:tr>
      <w:tr w:rsidR="00633316" w:rsidRPr="00633316" w14:paraId="1B62A397" w14:textId="77777777" w:rsidTr="00633316">
        <w:trPr>
          <w:trHeight w:val="748"/>
        </w:trPr>
        <w:tc>
          <w:tcPr>
            <w:tcW w:w="10774" w:type="dxa"/>
            <w:tcBorders>
              <w:top w:val="single" w:sz="4" w:space="0" w:color="auto"/>
              <w:left w:val="single" w:sz="4" w:space="0" w:color="000000" w:themeColor="text1"/>
              <w:bottom w:val="single" w:sz="4" w:space="0" w:color="auto"/>
              <w:right w:val="single" w:sz="4" w:space="0" w:color="000000" w:themeColor="text1"/>
            </w:tcBorders>
          </w:tcPr>
          <w:p w14:paraId="3DDF34E9" w14:textId="77777777" w:rsidR="00633316" w:rsidRPr="00633316" w:rsidRDefault="00633316" w:rsidP="007C4614">
            <w:pPr>
              <w:pStyle w:val="ListParagraph"/>
              <w:ind w:left="0" w:right="5"/>
              <w:jc w:val="center"/>
              <w:rPr>
                <w:rFonts w:ascii="Cambria" w:hAnsi="Cambria" w:cs="Times New Roman"/>
                <w:b/>
                <w:bCs/>
                <w:sz w:val="24"/>
                <w:szCs w:val="24"/>
                <w:u w:val="single"/>
              </w:rPr>
            </w:pPr>
            <w:r w:rsidRPr="00633316">
              <w:rPr>
                <w:rFonts w:ascii="Cambria" w:hAnsi="Cambria" w:cs="Times New Roman"/>
                <w:b/>
                <w:bCs/>
                <w:sz w:val="24"/>
                <w:szCs w:val="24"/>
                <w:u w:val="single"/>
              </w:rPr>
              <w:t>Repatriation of Foreigners/Indians</w:t>
            </w:r>
          </w:p>
          <w:p w14:paraId="36FDA796" w14:textId="77777777" w:rsidR="00633316" w:rsidRPr="00633316" w:rsidRDefault="00633316" w:rsidP="00633316">
            <w:pPr>
              <w:pStyle w:val="ListParagraph"/>
              <w:numPr>
                <w:ilvl w:val="0"/>
                <w:numId w:val="4"/>
              </w:numPr>
              <w:spacing w:after="0" w:line="240" w:lineRule="auto"/>
              <w:ind w:left="455" w:right="54"/>
              <w:jc w:val="both"/>
              <w:rPr>
                <w:rFonts w:ascii="Cambria" w:hAnsi="Cambria"/>
                <w:sz w:val="24"/>
                <w:szCs w:val="24"/>
              </w:rPr>
            </w:pPr>
            <w:r w:rsidRPr="00633316">
              <w:rPr>
                <w:rFonts w:ascii="Cambria" w:hAnsi="Cambria"/>
                <w:sz w:val="24"/>
                <w:szCs w:val="24"/>
              </w:rPr>
              <w:t>19 (nineteen) Bangladesh nationals were repatriated to their native with the approval of Government of India, Ministry of External Affairs.</w:t>
            </w:r>
          </w:p>
          <w:p w14:paraId="3C12F045" w14:textId="14EBD3B6" w:rsidR="00633316" w:rsidRPr="00633316" w:rsidRDefault="00633316" w:rsidP="00633316">
            <w:pPr>
              <w:pStyle w:val="ListParagraph"/>
              <w:numPr>
                <w:ilvl w:val="0"/>
                <w:numId w:val="4"/>
              </w:numPr>
              <w:spacing w:after="0" w:line="240" w:lineRule="auto"/>
              <w:ind w:left="455" w:right="5"/>
              <w:jc w:val="both"/>
              <w:rPr>
                <w:rFonts w:ascii="Cambria" w:hAnsi="Cambria"/>
                <w:sz w:val="24"/>
                <w:szCs w:val="24"/>
              </w:rPr>
            </w:pPr>
            <w:r w:rsidRPr="00633316">
              <w:rPr>
                <w:rFonts w:ascii="Cambria" w:hAnsi="Cambria"/>
                <w:sz w:val="24"/>
                <w:szCs w:val="24"/>
              </w:rPr>
              <w:t>2(two) number of Indian nationals (Tripura origin) were also repatriated from abroad.</w:t>
            </w:r>
          </w:p>
          <w:p w14:paraId="3D986B8C" w14:textId="77777777" w:rsidR="00633316" w:rsidRPr="00633316" w:rsidRDefault="00633316" w:rsidP="007C4614">
            <w:pPr>
              <w:pStyle w:val="ListParagraph"/>
              <w:ind w:left="819" w:right="5"/>
              <w:jc w:val="both"/>
              <w:rPr>
                <w:rFonts w:ascii="Cambria" w:hAnsi="Cambria" w:cs="Times New Roman"/>
                <w:sz w:val="24"/>
                <w:szCs w:val="24"/>
              </w:rPr>
            </w:pPr>
          </w:p>
        </w:tc>
      </w:tr>
      <w:tr w:rsidR="00633316" w:rsidRPr="00633316" w14:paraId="39012880" w14:textId="77777777" w:rsidTr="00633316">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AA781" w14:textId="77777777" w:rsidR="00633316" w:rsidRPr="00633316" w:rsidRDefault="00633316" w:rsidP="007C4614">
            <w:pPr>
              <w:pStyle w:val="ListParagraph"/>
              <w:ind w:left="0" w:right="5"/>
              <w:jc w:val="center"/>
              <w:rPr>
                <w:rFonts w:ascii="Cambria" w:hAnsi="Cambria" w:cs="Times New Roman"/>
                <w:b/>
                <w:bCs/>
                <w:sz w:val="24"/>
                <w:szCs w:val="24"/>
                <w:u w:val="single"/>
              </w:rPr>
            </w:pPr>
            <w:r w:rsidRPr="00633316">
              <w:rPr>
                <w:rFonts w:ascii="Cambria" w:hAnsi="Cambria" w:cs="Times New Roman"/>
                <w:b/>
                <w:bCs/>
                <w:sz w:val="24"/>
                <w:szCs w:val="24"/>
                <w:u w:val="single"/>
              </w:rPr>
              <w:t>Repatriation of Dead bodies</w:t>
            </w:r>
          </w:p>
          <w:p w14:paraId="2968DCED" w14:textId="77777777" w:rsidR="00633316" w:rsidRPr="00633316" w:rsidRDefault="00633316" w:rsidP="00633316">
            <w:pPr>
              <w:pStyle w:val="ListParagraph"/>
              <w:numPr>
                <w:ilvl w:val="0"/>
                <w:numId w:val="5"/>
              </w:numPr>
              <w:spacing w:after="0" w:line="240" w:lineRule="auto"/>
              <w:ind w:left="358" w:right="5"/>
              <w:jc w:val="both"/>
              <w:rPr>
                <w:rFonts w:ascii="Cambria" w:hAnsi="Cambria"/>
                <w:sz w:val="24"/>
                <w:szCs w:val="24"/>
                <w:u w:val="single"/>
              </w:rPr>
            </w:pPr>
            <w:r w:rsidRPr="00633316">
              <w:rPr>
                <w:rFonts w:ascii="Cambria" w:hAnsi="Cambria"/>
                <w:sz w:val="24"/>
                <w:szCs w:val="24"/>
              </w:rPr>
              <w:t>Dead bodies of 2 (two) Indian nationals (Tripura origin) were brought back from Saudi Arabia and Bangladesh.</w:t>
            </w:r>
          </w:p>
          <w:p w14:paraId="36F03A81" w14:textId="77777777" w:rsidR="00633316" w:rsidRPr="00633316" w:rsidRDefault="00633316" w:rsidP="007C4614">
            <w:pPr>
              <w:pStyle w:val="ListParagraph"/>
              <w:ind w:right="5"/>
              <w:jc w:val="both"/>
              <w:rPr>
                <w:rFonts w:ascii="Cambria" w:hAnsi="Cambria" w:cs="Times New Roman"/>
                <w:sz w:val="24"/>
                <w:szCs w:val="24"/>
              </w:rPr>
            </w:pPr>
          </w:p>
        </w:tc>
      </w:tr>
      <w:tr w:rsidR="00633316" w:rsidRPr="00633316" w14:paraId="707C88BF" w14:textId="77777777" w:rsidTr="00633316">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B94D5" w14:textId="77777777" w:rsidR="00633316" w:rsidRPr="00633316" w:rsidRDefault="00633316" w:rsidP="007C4614">
            <w:pPr>
              <w:pStyle w:val="ListParagraph"/>
              <w:ind w:left="0" w:right="5"/>
              <w:jc w:val="center"/>
              <w:rPr>
                <w:rFonts w:ascii="Cambria" w:hAnsi="Cambria" w:cs="Times New Roman"/>
                <w:b/>
                <w:bCs/>
                <w:sz w:val="24"/>
                <w:szCs w:val="24"/>
                <w:u w:val="single"/>
              </w:rPr>
            </w:pPr>
            <w:r w:rsidRPr="00633316">
              <w:rPr>
                <w:rFonts w:ascii="Cambria" w:hAnsi="Cambria" w:cs="Times New Roman"/>
                <w:b/>
                <w:bCs/>
                <w:sz w:val="24"/>
                <w:szCs w:val="24"/>
                <w:u w:val="single"/>
              </w:rPr>
              <w:t>Ex-Servicemen Welfare</w:t>
            </w:r>
          </w:p>
          <w:p w14:paraId="2C09A385" w14:textId="77777777" w:rsidR="00633316" w:rsidRPr="00633316" w:rsidRDefault="00633316" w:rsidP="007C4614">
            <w:pPr>
              <w:pStyle w:val="ListParagraph"/>
              <w:ind w:left="0" w:right="5"/>
              <w:jc w:val="center"/>
              <w:rPr>
                <w:rFonts w:ascii="Cambria" w:hAnsi="Cambria" w:cs="Times New Roman"/>
                <w:b/>
                <w:bCs/>
                <w:sz w:val="24"/>
                <w:szCs w:val="24"/>
                <w:u w:val="single"/>
              </w:rPr>
            </w:pPr>
          </w:p>
          <w:p w14:paraId="08D2EDC7" w14:textId="77777777" w:rsidR="00633316" w:rsidRPr="00633316" w:rsidRDefault="00633316" w:rsidP="00633316">
            <w:pPr>
              <w:pStyle w:val="ListParagraph"/>
              <w:numPr>
                <w:ilvl w:val="0"/>
                <w:numId w:val="8"/>
              </w:numPr>
              <w:spacing w:after="0" w:line="240" w:lineRule="auto"/>
              <w:ind w:left="311" w:right="5"/>
              <w:jc w:val="both"/>
              <w:rPr>
                <w:rFonts w:ascii="Cambria" w:hAnsi="Cambria"/>
                <w:sz w:val="24"/>
                <w:szCs w:val="24"/>
              </w:rPr>
            </w:pPr>
            <w:r w:rsidRPr="00633316">
              <w:rPr>
                <w:rFonts w:ascii="Cambria" w:hAnsi="Cambria"/>
                <w:sz w:val="24"/>
                <w:szCs w:val="24"/>
              </w:rPr>
              <w:t>One post of Assistant Director (Group-B) was filled up in Directorate of Sainik Welfare through TPSC.</w:t>
            </w:r>
          </w:p>
          <w:p w14:paraId="1EF89136" w14:textId="77777777" w:rsidR="00633316" w:rsidRPr="00633316" w:rsidRDefault="00633316" w:rsidP="00633316">
            <w:pPr>
              <w:pStyle w:val="ListParagraph"/>
              <w:numPr>
                <w:ilvl w:val="0"/>
                <w:numId w:val="8"/>
              </w:numPr>
              <w:spacing w:after="0" w:line="240" w:lineRule="auto"/>
              <w:ind w:left="311" w:right="5"/>
              <w:jc w:val="both"/>
              <w:rPr>
                <w:rFonts w:ascii="Cambria" w:hAnsi="Cambria"/>
                <w:sz w:val="24"/>
                <w:szCs w:val="24"/>
              </w:rPr>
            </w:pPr>
            <w:r w:rsidRPr="00633316">
              <w:rPr>
                <w:rFonts w:ascii="Cambria" w:hAnsi="Cambria"/>
                <w:sz w:val="24"/>
                <w:szCs w:val="24"/>
              </w:rPr>
              <w:t xml:space="preserve">One Post of Director (Group-B) was filled up on contractual basis. </w:t>
            </w:r>
          </w:p>
          <w:p w14:paraId="40E774A6" w14:textId="77777777" w:rsidR="00633316" w:rsidRPr="00633316" w:rsidRDefault="00633316" w:rsidP="00633316">
            <w:pPr>
              <w:pStyle w:val="ListParagraph"/>
              <w:numPr>
                <w:ilvl w:val="0"/>
                <w:numId w:val="8"/>
              </w:numPr>
              <w:spacing w:after="0" w:line="240" w:lineRule="auto"/>
              <w:ind w:left="311" w:right="5"/>
              <w:jc w:val="both"/>
              <w:rPr>
                <w:rFonts w:ascii="Cambria" w:hAnsi="Cambria"/>
                <w:sz w:val="24"/>
                <w:szCs w:val="24"/>
              </w:rPr>
            </w:pPr>
            <w:r w:rsidRPr="00633316">
              <w:rPr>
                <w:rFonts w:ascii="Cambria" w:hAnsi="Cambria"/>
                <w:sz w:val="24"/>
                <w:szCs w:val="24"/>
              </w:rPr>
              <w:t>The XXI</w:t>
            </w:r>
            <w:r w:rsidRPr="00633316">
              <w:rPr>
                <w:rFonts w:ascii="Cambria" w:hAnsi="Cambria"/>
                <w:sz w:val="24"/>
                <w:szCs w:val="24"/>
                <w:vertAlign w:val="superscript"/>
              </w:rPr>
              <w:t>st</w:t>
            </w:r>
            <w:r w:rsidRPr="00633316">
              <w:rPr>
                <w:rFonts w:ascii="Cambria" w:hAnsi="Cambria"/>
                <w:sz w:val="24"/>
                <w:szCs w:val="24"/>
              </w:rPr>
              <w:t xml:space="preserve"> meeting of Tripura Amalgamated Special Fund was held on 14.06.2024 at Raj Bhavan under the chairmanship of the Hon’ble Governor for reconstruction and rehabilitation of ex-servicemen of Tripura. </w:t>
            </w:r>
          </w:p>
          <w:p w14:paraId="0A72C858" w14:textId="77777777" w:rsidR="00633316" w:rsidRPr="00633316" w:rsidRDefault="00633316" w:rsidP="007C4614">
            <w:pPr>
              <w:pStyle w:val="ListParagraph"/>
              <w:ind w:left="0" w:right="5"/>
              <w:jc w:val="both"/>
              <w:rPr>
                <w:rFonts w:ascii="Cambria" w:hAnsi="Cambria" w:cs="Times New Roman"/>
                <w:b/>
                <w:bCs/>
                <w:sz w:val="24"/>
                <w:szCs w:val="24"/>
                <w:u w:val="single"/>
              </w:rPr>
            </w:pPr>
            <w:r w:rsidRPr="00633316">
              <w:rPr>
                <w:rFonts w:ascii="Cambria" w:hAnsi="Cambria" w:cs="Times New Roman"/>
                <w:b/>
                <w:bCs/>
                <w:sz w:val="24"/>
                <w:szCs w:val="24"/>
                <w:u w:val="single"/>
              </w:rPr>
              <w:t xml:space="preserve"> </w:t>
            </w:r>
          </w:p>
        </w:tc>
      </w:tr>
    </w:tbl>
    <w:p w14:paraId="7496EABD" w14:textId="77777777" w:rsidR="00633316" w:rsidRPr="00633316" w:rsidRDefault="00633316" w:rsidP="00633316">
      <w:pPr>
        <w:pStyle w:val="ListParagraph"/>
        <w:spacing w:after="0"/>
        <w:ind w:left="0" w:right="-270" w:firstLine="720"/>
        <w:jc w:val="center"/>
        <w:rPr>
          <w:rFonts w:ascii="Cambria" w:hAnsi="Cambria" w:cs="Times New Roman"/>
          <w:b/>
          <w:sz w:val="24"/>
          <w:szCs w:val="24"/>
        </w:rPr>
      </w:pPr>
    </w:p>
    <w:p w14:paraId="5CB84F77" w14:textId="77777777" w:rsidR="00633316" w:rsidRPr="00633316" w:rsidRDefault="00633316" w:rsidP="00633316">
      <w:pPr>
        <w:ind w:left="709" w:firstLine="567"/>
        <w:jc w:val="both"/>
        <w:rPr>
          <w:rFonts w:ascii="Cambria" w:hAnsi="Cambria"/>
        </w:rPr>
      </w:pPr>
    </w:p>
    <w:p w14:paraId="25CD7D58" w14:textId="77777777" w:rsidR="00633316" w:rsidRPr="00633316" w:rsidRDefault="00633316" w:rsidP="00633316">
      <w:pPr>
        <w:ind w:left="709" w:firstLine="567"/>
        <w:jc w:val="both"/>
        <w:rPr>
          <w:rFonts w:ascii="Cambria" w:hAnsi="Cambria"/>
        </w:rPr>
      </w:pPr>
    </w:p>
    <w:p w14:paraId="574E6F23" w14:textId="77777777" w:rsidR="00633316" w:rsidRPr="00633316" w:rsidRDefault="00633316" w:rsidP="00633316">
      <w:pPr>
        <w:spacing w:line="240" w:lineRule="auto"/>
        <w:ind w:left="284"/>
        <w:jc w:val="both"/>
        <w:rPr>
          <w:rFonts w:ascii="Cambria" w:hAnsi="Cambria" w:cs="Times New Roman"/>
        </w:rPr>
      </w:pPr>
    </w:p>
    <w:p w14:paraId="770A6734" w14:textId="77777777" w:rsidR="00633316" w:rsidRPr="00633316" w:rsidRDefault="00633316" w:rsidP="00633316">
      <w:pPr>
        <w:spacing w:line="240" w:lineRule="auto"/>
        <w:ind w:left="284"/>
        <w:jc w:val="both"/>
        <w:rPr>
          <w:rFonts w:ascii="Cambria" w:hAnsi="Cambria" w:cs="Times New Roman"/>
        </w:rPr>
      </w:pPr>
    </w:p>
    <w:p w14:paraId="7E7ACBF8" w14:textId="77777777" w:rsidR="00FB08CF" w:rsidRPr="00633316" w:rsidRDefault="00FB08CF" w:rsidP="00633316">
      <w:pPr>
        <w:rPr>
          <w:rFonts w:ascii="Cambria" w:hAnsi="Cambria"/>
        </w:rPr>
      </w:pPr>
    </w:p>
    <w:sectPr w:rsidR="00FB08CF" w:rsidRPr="00633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2C3F8C"/>
    <w:rsid w:val="003F79A4"/>
    <w:rsid w:val="00417B9D"/>
    <w:rsid w:val="00633316"/>
    <w:rsid w:val="00A46BFD"/>
    <w:rsid w:val="00BE7B15"/>
    <w:rsid w:val="00CA0F65"/>
    <w:rsid w:val="00D03E69"/>
    <w:rsid w:val="00D3399F"/>
    <w:rsid w:val="00D617E8"/>
    <w:rsid w:val="00D9198E"/>
    <w:rsid w:val="00EA4B18"/>
    <w:rsid w:val="00EF5803"/>
    <w:rsid w:val="00FB08CF"/>
    <w:rsid w:val="00FF258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11</cp:revision>
  <dcterms:created xsi:type="dcterms:W3CDTF">2024-12-04T08:00:00Z</dcterms:created>
  <dcterms:modified xsi:type="dcterms:W3CDTF">2024-12-04T08:13:00Z</dcterms:modified>
</cp:coreProperties>
</file>