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E8F2" w14:textId="77777777" w:rsidR="002C3F8C" w:rsidRPr="002C3F8C" w:rsidRDefault="002C3F8C" w:rsidP="002C3F8C">
      <w:pPr>
        <w:spacing w:line="240" w:lineRule="auto"/>
        <w:ind w:left="284"/>
        <w:jc w:val="both"/>
        <w:rPr>
          <w:rFonts w:ascii="Cambria" w:hAnsi="Cambria" w:cs="Times New Roman"/>
        </w:rPr>
      </w:pPr>
    </w:p>
    <w:p w14:paraId="5C71508C" w14:textId="77777777" w:rsidR="002C3F8C" w:rsidRPr="002C3F8C" w:rsidRDefault="002C3F8C" w:rsidP="002C3F8C">
      <w:pPr>
        <w:spacing w:line="240" w:lineRule="auto"/>
        <w:ind w:left="284"/>
        <w:jc w:val="both"/>
        <w:rPr>
          <w:rFonts w:ascii="Cambria" w:hAnsi="Cambria" w:cs="Times New Roman"/>
        </w:rPr>
      </w:pPr>
    </w:p>
    <w:p w14:paraId="022BF363" w14:textId="77777777" w:rsidR="002C3F8C" w:rsidRPr="002C3F8C" w:rsidRDefault="002C3F8C" w:rsidP="002C3F8C">
      <w:pPr>
        <w:pStyle w:val="ListParagraph"/>
        <w:ind w:left="0" w:right="-270"/>
        <w:jc w:val="center"/>
        <w:rPr>
          <w:rFonts w:ascii="Cambria" w:hAnsi="Cambria" w:cs="Times New Roman"/>
          <w:b/>
          <w:sz w:val="32"/>
          <w:szCs w:val="32"/>
        </w:rPr>
      </w:pPr>
      <w:r w:rsidRPr="002C3F8C">
        <w:rPr>
          <w:rFonts w:ascii="Cambria" w:hAnsi="Cambria" w:cs="Times New Roman"/>
          <w:b/>
          <w:sz w:val="32"/>
          <w:szCs w:val="32"/>
        </w:rPr>
        <w:t>Major achievements in the year 2023-24</w:t>
      </w:r>
    </w:p>
    <w:p w14:paraId="6B24DF59" w14:textId="77777777" w:rsidR="002C3F8C" w:rsidRPr="002C3F8C" w:rsidRDefault="002C3F8C" w:rsidP="002C3F8C">
      <w:pPr>
        <w:pStyle w:val="ListParagraph"/>
        <w:spacing w:after="0"/>
        <w:ind w:left="0" w:right="-270" w:firstLine="720"/>
        <w:jc w:val="both"/>
        <w:rPr>
          <w:rFonts w:ascii="Cambria" w:hAnsi="Cambria" w:cs="Times New Roman"/>
          <w:b/>
          <w:sz w:val="24"/>
          <w:szCs w:val="24"/>
          <w:u w:val="single"/>
        </w:rPr>
      </w:pPr>
    </w:p>
    <w:p w14:paraId="009956FE" w14:textId="77777777" w:rsidR="002C3F8C" w:rsidRPr="002C3F8C" w:rsidRDefault="002C3F8C" w:rsidP="002C3F8C">
      <w:pPr>
        <w:pStyle w:val="ListParagraph"/>
        <w:spacing w:after="0"/>
        <w:ind w:left="0" w:right="-270" w:firstLine="720"/>
        <w:jc w:val="both"/>
        <w:rPr>
          <w:rFonts w:ascii="Cambria" w:hAnsi="Cambria" w:cs="Times New Roman"/>
          <w:i/>
          <w:sz w:val="24"/>
          <w:szCs w:val="24"/>
        </w:rPr>
      </w:pPr>
      <w:r w:rsidRPr="002C3F8C">
        <w:rPr>
          <w:rFonts w:ascii="Cambria" w:hAnsi="Cambria" w:cs="Times New Roman"/>
          <w:b/>
          <w:sz w:val="24"/>
          <w:szCs w:val="24"/>
          <w:u w:val="single"/>
        </w:rPr>
        <w:t>Name of Department:</w:t>
      </w:r>
      <w:r w:rsidRPr="002C3F8C">
        <w:rPr>
          <w:rFonts w:ascii="Cambria" w:hAnsi="Cambria" w:cs="Times New Roman"/>
          <w:b/>
          <w:sz w:val="24"/>
          <w:szCs w:val="24"/>
        </w:rPr>
        <w:t xml:space="preserve"> </w:t>
      </w:r>
      <w:r w:rsidRPr="002C3F8C">
        <w:rPr>
          <w:rFonts w:ascii="Cambria" w:hAnsi="Cambria" w:cs="Times New Roman"/>
          <w:b/>
          <w:sz w:val="24"/>
          <w:szCs w:val="24"/>
        </w:rPr>
        <w:tab/>
      </w:r>
      <w:r w:rsidRPr="002C3F8C">
        <w:rPr>
          <w:rFonts w:ascii="Cambria" w:hAnsi="Cambria" w:cs="Times New Roman"/>
          <w:b/>
          <w:sz w:val="24"/>
          <w:szCs w:val="24"/>
        </w:rPr>
        <w:tab/>
      </w:r>
      <w:r w:rsidRPr="002C3F8C">
        <w:rPr>
          <w:rFonts w:ascii="Cambria" w:hAnsi="Cambria" w:cs="Times New Roman"/>
          <w:iCs/>
          <w:sz w:val="24"/>
          <w:szCs w:val="24"/>
          <w:u w:val="single"/>
        </w:rPr>
        <w:t>General Administration (Political) Department</w:t>
      </w:r>
      <w:r w:rsidRPr="002C3F8C">
        <w:rPr>
          <w:rFonts w:ascii="Cambria" w:hAnsi="Cambria" w:cs="Times New Roman"/>
          <w:i/>
          <w:sz w:val="24"/>
          <w:szCs w:val="24"/>
        </w:rPr>
        <w:tab/>
      </w:r>
    </w:p>
    <w:p w14:paraId="15AB09D8" w14:textId="77777777" w:rsidR="002C3F8C" w:rsidRPr="002C3F8C" w:rsidRDefault="002C3F8C" w:rsidP="002C3F8C">
      <w:pPr>
        <w:pStyle w:val="ListParagraph"/>
        <w:spacing w:after="0"/>
        <w:ind w:left="0" w:right="-270" w:firstLine="720"/>
        <w:jc w:val="both"/>
        <w:rPr>
          <w:rFonts w:ascii="Cambria" w:hAnsi="Cambria" w:cs="Times New Roman"/>
          <w:b/>
          <w:sz w:val="24"/>
          <w:szCs w:val="24"/>
        </w:rPr>
      </w:pPr>
    </w:p>
    <w:tbl>
      <w:tblPr>
        <w:tblStyle w:val="TableGrid"/>
        <w:tblW w:w="10774" w:type="dxa"/>
        <w:tblInd w:w="-714" w:type="dxa"/>
        <w:tblLook w:val="04A0" w:firstRow="1" w:lastRow="0" w:firstColumn="1" w:lastColumn="0" w:noHBand="0" w:noVBand="1"/>
      </w:tblPr>
      <w:tblGrid>
        <w:gridCol w:w="10774"/>
      </w:tblGrid>
      <w:tr w:rsidR="002C3F8C" w:rsidRPr="002C3F8C" w14:paraId="330D5670" w14:textId="77777777" w:rsidTr="002C3F8C">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56674" w14:textId="77777777" w:rsidR="002C3F8C" w:rsidRPr="002C3F8C" w:rsidRDefault="002C3F8C" w:rsidP="007C4614">
            <w:pPr>
              <w:pStyle w:val="ListParagraph"/>
              <w:ind w:left="0" w:right="-270"/>
              <w:jc w:val="center"/>
              <w:rPr>
                <w:rFonts w:ascii="Cambria" w:hAnsi="Cambria" w:cs="Times New Roman"/>
                <w:b/>
                <w:sz w:val="24"/>
                <w:szCs w:val="24"/>
              </w:rPr>
            </w:pPr>
          </w:p>
          <w:p w14:paraId="2D586452" w14:textId="77777777" w:rsidR="002C3F8C" w:rsidRPr="002C3F8C" w:rsidRDefault="002C3F8C" w:rsidP="007C4614">
            <w:pPr>
              <w:pStyle w:val="ListParagraph"/>
              <w:ind w:left="0" w:right="-270"/>
              <w:jc w:val="center"/>
              <w:rPr>
                <w:rFonts w:ascii="Cambria" w:hAnsi="Cambria" w:cs="Times New Roman"/>
                <w:b/>
                <w:sz w:val="24"/>
                <w:szCs w:val="24"/>
              </w:rPr>
            </w:pPr>
          </w:p>
        </w:tc>
      </w:tr>
      <w:tr w:rsidR="002C3F8C" w:rsidRPr="002C3F8C" w14:paraId="4B8A8FEB" w14:textId="77777777" w:rsidTr="002C3F8C">
        <w:trPr>
          <w:trHeight w:val="603"/>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9C674" w14:textId="77777777" w:rsidR="002C3F8C" w:rsidRPr="002C3F8C" w:rsidRDefault="002C3F8C" w:rsidP="007C4614">
            <w:pPr>
              <w:pStyle w:val="ListParagraph"/>
              <w:ind w:left="0" w:right="5"/>
              <w:jc w:val="center"/>
              <w:rPr>
                <w:rFonts w:ascii="Cambria" w:hAnsi="Cambria" w:cs="Times New Roman"/>
                <w:b/>
                <w:bCs/>
                <w:sz w:val="24"/>
                <w:szCs w:val="24"/>
                <w:u w:val="single"/>
              </w:rPr>
            </w:pPr>
            <w:r w:rsidRPr="002C3F8C">
              <w:rPr>
                <w:rFonts w:ascii="Cambria" w:hAnsi="Cambria" w:cs="Times New Roman"/>
                <w:b/>
                <w:bCs/>
                <w:sz w:val="24"/>
                <w:szCs w:val="24"/>
                <w:u w:val="single"/>
              </w:rPr>
              <w:t>State Hospitalities</w:t>
            </w:r>
          </w:p>
          <w:p w14:paraId="6EFF19B8" w14:textId="77777777" w:rsidR="002C3F8C" w:rsidRPr="002C3F8C" w:rsidRDefault="002C3F8C" w:rsidP="007C4614">
            <w:pPr>
              <w:pStyle w:val="ListParagraph"/>
              <w:ind w:left="0" w:right="5"/>
              <w:jc w:val="both"/>
              <w:rPr>
                <w:rFonts w:ascii="Cambria" w:hAnsi="Cambria" w:cs="Times New Roman"/>
                <w:sz w:val="24"/>
                <w:szCs w:val="24"/>
              </w:rPr>
            </w:pPr>
            <w:r w:rsidRPr="002C3F8C">
              <w:rPr>
                <w:rFonts w:ascii="Cambria" w:hAnsi="Cambria" w:cs="Times New Roman"/>
                <w:sz w:val="24"/>
                <w:szCs w:val="24"/>
              </w:rPr>
              <w:t>Total 583 numbers of visitors were declared as State Guests and 471 numbers of visitors were declared as Government Guests during their visit to Tripura (including VVIPs like Hon’ble Prime Minister of India) and State hospitalities were extended to them accordingly.</w:t>
            </w:r>
          </w:p>
        </w:tc>
      </w:tr>
      <w:tr w:rsidR="002C3F8C" w:rsidRPr="002C3F8C" w14:paraId="6AA1BFF4" w14:textId="77777777" w:rsidTr="002C3F8C">
        <w:trPr>
          <w:trHeight w:val="515"/>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1DC00FC0" w14:textId="77777777" w:rsidR="002C3F8C" w:rsidRPr="002C3F8C" w:rsidRDefault="002C3F8C" w:rsidP="007C4614">
            <w:pPr>
              <w:pStyle w:val="ListParagraph"/>
              <w:ind w:left="0" w:right="5"/>
              <w:jc w:val="center"/>
              <w:rPr>
                <w:rFonts w:ascii="Cambria" w:hAnsi="Cambria" w:cs="Times New Roman"/>
                <w:b/>
                <w:bCs/>
                <w:sz w:val="24"/>
                <w:szCs w:val="24"/>
                <w:u w:val="single"/>
              </w:rPr>
            </w:pPr>
            <w:r w:rsidRPr="002C3F8C">
              <w:rPr>
                <w:rFonts w:ascii="Cambria" w:hAnsi="Cambria" w:cs="Times New Roman"/>
                <w:b/>
                <w:bCs/>
                <w:sz w:val="24"/>
                <w:szCs w:val="24"/>
                <w:u w:val="single"/>
              </w:rPr>
              <w:t>Observance of National Days</w:t>
            </w:r>
          </w:p>
          <w:p w14:paraId="6C29095F" w14:textId="77777777" w:rsidR="002C3F8C" w:rsidRPr="002C3F8C" w:rsidRDefault="002C3F8C" w:rsidP="007C4614">
            <w:pPr>
              <w:ind w:right="5"/>
              <w:jc w:val="both"/>
              <w:rPr>
                <w:rFonts w:ascii="Cambria" w:hAnsi="Cambria" w:cs="Times New Roman"/>
                <w:sz w:val="24"/>
                <w:szCs w:val="24"/>
              </w:rPr>
            </w:pPr>
            <w:r w:rsidRPr="002C3F8C">
              <w:rPr>
                <w:rFonts w:ascii="Cambria" w:hAnsi="Cambria" w:cs="Times New Roman"/>
                <w:sz w:val="24"/>
                <w:szCs w:val="24"/>
              </w:rPr>
              <w:t xml:space="preserve">Independence Day-2023 and Republic Day, 2024 were observed in befitting manner.  Besides, Gandhi Jayanti, </w:t>
            </w:r>
            <w:proofErr w:type="spellStart"/>
            <w:r w:rsidRPr="002C3F8C">
              <w:rPr>
                <w:rFonts w:ascii="Cambria" w:hAnsi="Cambria" w:cs="Times New Roman"/>
                <w:sz w:val="24"/>
                <w:szCs w:val="24"/>
              </w:rPr>
              <w:t>Rashtriya</w:t>
            </w:r>
            <w:proofErr w:type="spellEnd"/>
            <w:r w:rsidRPr="002C3F8C">
              <w:rPr>
                <w:rFonts w:ascii="Cambria" w:hAnsi="Cambria" w:cs="Times New Roman"/>
                <w:sz w:val="24"/>
                <w:szCs w:val="24"/>
              </w:rPr>
              <w:t xml:space="preserve"> Ekta </w:t>
            </w:r>
            <w:proofErr w:type="gramStart"/>
            <w:r w:rsidRPr="002C3F8C">
              <w:rPr>
                <w:rFonts w:ascii="Cambria" w:hAnsi="Cambria" w:cs="Times New Roman"/>
                <w:sz w:val="24"/>
                <w:szCs w:val="24"/>
              </w:rPr>
              <w:t>Diwas ,</w:t>
            </w:r>
            <w:proofErr w:type="gramEnd"/>
            <w:r w:rsidRPr="002C3F8C">
              <w:rPr>
                <w:rFonts w:ascii="Cambria" w:hAnsi="Cambria" w:cs="Times New Roman"/>
                <w:sz w:val="24"/>
                <w:szCs w:val="24"/>
              </w:rPr>
              <w:t xml:space="preserve"> Constitution Day, Vijay Diwas, Statehood Day and Martyrs’ Day were  observed with full conformity.                                                                                                 </w:t>
            </w:r>
          </w:p>
          <w:p w14:paraId="7D596C6E" w14:textId="77777777" w:rsidR="002C3F8C" w:rsidRPr="002C3F8C" w:rsidRDefault="002C3F8C" w:rsidP="007C4614">
            <w:pPr>
              <w:pStyle w:val="ListParagraph"/>
              <w:ind w:left="766" w:right="5"/>
              <w:jc w:val="both"/>
              <w:rPr>
                <w:rFonts w:ascii="Cambria" w:hAnsi="Cambria" w:cs="Times New Roman"/>
                <w:sz w:val="24"/>
                <w:szCs w:val="24"/>
              </w:rPr>
            </w:pPr>
          </w:p>
        </w:tc>
      </w:tr>
      <w:tr w:rsidR="002C3F8C" w:rsidRPr="002C3F8C" w14:paraId="1F0D3166" w14:textId="77777777" w:rsidTr="002C3F8C">
        <w:trPr>
          <w:trHeight w:val="748"/>
        </w:trPr>
        <w:tc>
          <w:tcPr>
            <w:tcW w:w="10774" w:type="dxa"/>
            <w:tcBorders>
              <w:top w:val="single" w:sz="4" w:space="0" w:color="auto"/>
              <w:left w:val="single" w:sz="4" w:space="0" w:color="000000" w:themeColor="text1"/>
              <w:bottom w:val="single" w:sz="4" w:space="0" w:color="auto"/>
              <w:right w:val="single" w:sz="4" w:space="0" w:color="000000" w:themeColor="text1"/>
            </w:tcBorders>
          </w:tcPr>
          <w:p w14:paraId="5A4DE78E" w14:textId="77777777" w:rsidR="002C3F8C" w:rsidRPr="002C3F8C" w:rsidRDefault="002C3F8C" w:rsidP="007C4614">
            <w:pPr>
              <w:pStyle w:val="ListParagraph"/>
              <w:ind w:left="0" w:right="5"/>
              <w:jc w:val="center"/>
              <w:rPr>
                <w:rFonts w:ascii="Cambria" w:hAnsi="Cambria" w:cs="Times New Roman"/>
                <w:b/>
                <w:bCs/>
                <w:sz w:val="24"/>
                <w:szCs w:val="24"/>
                <w:u w:val="single"/>
              </w:rPr>
            </w:pPr>
            <w:r w:rsidRPr="002C3F8C">
              <w:rPr>
                <w:rFonts w:ascii="Cambria" w:hAnsi="Cambria" w:cs="Times New Roman"/>
                <w:b/>
                <w:bCs/>
                <w:sz w:val="24"/>
                <w:szCs w:val="24"/>
                <w:u w:val="single"/>
              </w:rPr>
              <w:t>Repatriation of Foreigners/Indians</w:t>
            </w:r>
          </w:p>
          <w:p w14:paraId="79B90C59" w14:textId="77777777" w:rsidR="002C3F8C" w:rsidRPr="002C3F8C" w:rsidRDefault="002C3F8C" w:rsidP="002C3F8C">
            <w:pPr>
              <w:pStyle w:val="ListParagraph"/>
              <w:numPr>
                <w:ilvl w:val="0"/>
                <w:numId w:val="4"/>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37(</w:t>
            </w:r>
            <w:proofErr w:type="gramStart"/>
            <w:r w:rsidRPr="002C3F8C">
              <w:rPr>
                <w:rFonts w:ascii="Cambria" w:hAnsi="Cambria" w:cs="Times New Roman"/>
                <w:sz w:val="24"/>
                <w:szCs w:val="24"/>
              </w:rPr>
              <w:t>thirty seven</w:t>
            </w:r>
            <w:proofErr w:type="gramEnd"/>
            <w:r w:rsidRPr="002C3F8C">
              <w:rPr>
                <w:rFonts w:ascii="Cambria" w:hAnsi="Cambria" w:cs="Times New Roman"/>
                <w:sz w:val="24"/>
                <w:szCs w:val="24"/>
              </w:rPr>
              <w:t xml:space="preserve">) number of Bangladesh nationals were repatriated to their native. </w:t>
            </w:r>
          </w:p>
          <w:p w14:paraId="4B1BA366" w14:textId="77777777" w:rsidR="002C3F8C" w:rsidRPr="002C3F8C" w:rsidRDefault="002C3F8C" w:rsidP="002C3F8C">
            <w:pPr>
              <w:pStyle w:val="ListParagraph"/>
              <w:numPr>
                <w:ilvl w:val="0"/>
                <w:numId w:val="4"/>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 xml:space="preserve">1(one) Turkey national was repatriated to his native. </w:t>
            </w:r>
          </w:p>
          <w:p w14:paraId="7E585DA3" w14:textId="77777777" w:rsidR="002C3F8C" w:rsidRPr="002C3F8C" w:rsidRDefault="002C3F8C" w:rsidP="002C3F8C">
            <w:pPr>
              <w:pStyle w:val="ListParagraph"/>
              <w:numPr>
                <w:ilvl w:val="0"/>
                <w:numId w:val="4"/>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 xml:space="preserve">2(two) Indian Nationals (Tripura origin) were repatriated from foreign abroad.           </w:t>
            </w:r>
          </w:p>
        </w:tc>
      </w:tr>
      <w:tr w:rsidR="002C3F8C" w:rsidRPr="002C3F8C" w14:paraId="19CA6B55" w14:textId="77777777" w:rsidTr="002C3F8C">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CE135" w14:textId="77777777" w:rsidR="002C3F8C" w:rsidRPr="002C3F8C" w:rsidRDefault="002C3F8C" w:rsidP="007C4614">
            <w:pPr>
              <w:pStyle w:val="ListParagraph"/>
              <w:ind w:left="0" w:right="5"/>
              <w:jc w:val="center"/>
              <w:rPr>
                <w:rFonts w:ascii="Cambria" w:hAnsi="Cambria" w:cs="Times New Roman"/>
                <w:b/>
                <w:bCs/>
                <w:sz w:val="24"/>
                <w:szCs w:val="24"/>
                <w:u w:val="single"/>
              </w:rPr>
            </w:pPr>
            <w:r w:rsidRPr="002C3F8C">
              <w:rPr>
                <w:rFonts w:ascii="Cambria" w:hAnsi="Cambria" w:cs="Times New Roman"/>
                <w:b/>
                <w:bCs/>
                <w:sz w:val="24"/>
                <w:szCs w:val="24"/>
                <w:u w:val="single"/>
              </w:rPr>
              <w:t>Repatriation of Dead bodies</w:t>
            </w:r>
          </w:p>
          <w:p w14:paraId="4CC88F36" w14:textId="77777777" w:rsidR="002C3F8C" w:rsidRPr="002C3F8C" w:rsidRDefault="002C3F8C" w:rsidP="002C3F8C">
            <w:pPr>
              <w:pStyle w:val="ListParagraph"/>
              <w:numPr>
                <w:ilvl w:val="0"/>
                <w:numId w:val="9"/>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 xml:space="preserve">2 (two) dead bodies of Indian nationals (Tripura origin) were brought back from Bangladesh and Saudi Arabia respectively. </w:t>
            </w:r>
          </w:p>
          <w:p w14:paraId="452AE61B" w14:textId="77777777" w:rsidR="002C3F8C" w:rsidRPr="002C3F8C" w:rsidRDefault="002C3F8C" w:rsidP="007C4614">
            <w:pPr>
              <w:pStyle w:val="ListParagraph"/>
              <w:ind w:right="5"/>
              <w:jc w:val="both"/>
              <w:rPr>
                <w:rFonts w:ascii="Cambria" w:hAnsi="Cambria" w:cs="Times New Roman"/>
                <w:sz w:val="24"/>
                <w:szCs w:val="24"/>
              </w:rPr>
            </w:pPr>
          </w:p>
        </w:tc>
      </w:tr>
      <w:tr w:rsidR="002C3F8C" w:rsidRPr="002C3F8C" w14:paraId="2DCDE250" w14:textId="77777777" w:rsidTr="002C3F8C">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6756" w14:textId="77777777" w:rsidR="002C3F8C" w:rsidRPr="002C3F8C" w:rsidRDefault="002C3F8C" w:rsidP="007C4614">
            <w:pPr>
              <w:pStyle w:val="ListParagraph"/>
              <w:ind w:left="0" w:right="5"/>
              <w:jc w:val="center"/>
              <w:rPr>
                <w:rFonts w:ascii="Cambria" w:hAnsi="Cambria" w:cs="Times New Roman"/>
                <w:b/>
                <w:bCs/>
                <w:sz w:val="24"/>
                <w:szCs w:val="24"/>
                <w:u w:val="single"/>
              </w:rPr>
            </w:pPr>
            <w:r w:rsidRPr="002C3F8C">
              <w:rPr>
                <w:rFonts w:ascii="Cambria" w:hAnsi="Cambria" w:cs="Times New Roman"/>
                <w:b/>
                <w:bCs/>
                <w:sz w:val="24"/>
                <w:szCs w:val="24"/>
                <w:u w:val="single"/>
              </w:rPr>
              <w:t>Ex-Servicemen Welfare</w:t>
            </w:r>
          </w:p>
          <w:p w14:paraId="437CFE59" w14:textId="77777777" w:rsidR="002C3F8C" w:rsidRPr="002C3F8C" w:rsidRDefault="002C3F8C" w:rsidP="007C4614">
            <w:pPr>
              <w:pStyle w:val="ListParagraph"/>
              <w:ind w:left="0" w:right="5"/>
              <w:jc w:val="center"/>
              <w:rPr>
                <w:rFonts w:ascii="Cambria" w:hAnsi="Cambria" w:cs="Times New Roman"/>
                <w:b/>
                <w:bCs/>
                <w:sz w:val="24"/>
                <w:szCs w:val="24"/>
                <w:u w:val="single"/>
              </w:rPr>
            </w:pPr>
          </w:p>
          <w:p w14:paraId="2D366756" w14:textId="77777777" w:rsidR="002C3F8C" w:rsidRPr="002C3F8C" w:rsidRDefault="002C3F8C" w:rsidP="002C3F8C">
            <w:pPr>
              <w:pStyle w:val="ListParagraph"/>
              <w:numPr>
                <w:ilvl w:val="0"/>
                <w:numId w:val="9"/>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 xml:space="preserve">An appointment was made from the Ex-Servicemen candidate to the post of Assistant Director, Directorate of </w:t>
            </w:r>
            <w:proofErr w:type="spellStart"/>
            <w:r w:rsidRPr="002C3F8C">
              <w:rPr>
                <w:rFonts w:ascii="Cambria" w:hAnsi="Cambria" w:cs="Times New Roman"/>
                <w:sz w:val="24"/>
                <w:szCs w:val="24"/>
              </w:rPr>
              <w:t>Sainik</w:t>
            </w:r>
            <w:proofErr w:type="spellEnd"/>
            <w:r w:rsidRPr="002C3F8C">
              <w:rPr>
                <w:rFonts w:ascii="Cambria" w:hAnsi="Cambria" w:cs="Times New Roman"/>
                <w:sz w:val="24"/>
                <w:szCs w:val="24"/>
              </w:rPr>
              <w:t xml:space="preserve"> Welfare (Gr-B; </w:t>
            </w:r>
            <w:proofErr w:type="spellStart"/>
            <w:r w:rsidRPr="002C3F8C">
              <w:rPr>
                <w:rFonts w:ascii="Cambria" w:hAnsi="Cambria" w:cs="Times New Roman"/>
                <w:sz w:val="24"/>
                <w:szCs w:val="24"/>
              </w:rPr>
              <w:t>Gazetted</w:t>
            </w:r>
            <w:proofErr w:type="spellEnd"/>
            <w:r w:rsidRPr="002C3F8C">
              <w:rPr>
                <w:rFonts w:ascii="Cambria" w:hAnsi="Cambria" w:cs="Times New Roman"/>
                <w:sz w:val="24"/>
                <w:szCs w:val="24"/>
              </w:rPr>
              <w:t xml:space="preserve"> officer) through TPSC. </w:t>
            </w:r>
          </w:p>
          <w:p w14:paraId="1B272144" w14:textId="77777777" w:rsidR="002C3F8C" w:rsidRPr="002C3F8C" w:rsidRDefault="002C3F8C" w:rsidP="002C3F8C">
            <w:pPr>
              <w:pStyle w:val="ListParagraph"/>
              <w:numPr>
                <w:ilvl w:val="0"/>
                <w:numId w:val="9"/>
              </w:numPr>
              <w:spacing w:after="0" w:line="240" w:lineRule="auto"/>
              <w:ind w:left="455" w:right="5"/>
              <w:jc w:val="both"/>
              <w:rPr>
                <w:rFonts w:ascii="Cambria" w:hAnsi="Cambria" w:cs="Times New Roman"/>
                <w:sz w:val="24"/>
                <w:szCs w:val="24"/>
              </w:rPr>
            </w:pPr>
            <w:r w:rsidRPr="002C3F8C">
              <w:rPr>
                <w:rFonts w:ascii="Cambria" w:hAnsi="Cambria" w:cs="Times New Roman"/>
                <w:sz w:val="24"/>
                <w:szCs w:val="24"/>
              </w:rPr>
              <w:t xml:space="preserve">One-time financial benefit was provided to the widows of 2(two) number of battle casualties. </w:t>
            </w:r>
          </w:p>
          <w:p w14:paraId="4733EB12" w14:textId="77777777" w:rsidR="002C3F8C" w:rsidRPr="002C3F8C" w:rsidRDefault="002C3F8C" w:rsidP="007C4614">
            <w:pPr>
              <w:pStyle w:val="ListParagraph"/>
              <w:ind w:left="0" w:right="5"/>
              <w:jc w:val="both"/>
              <w:rPr>
                <w:rFonts w:ascii="Cambria" w:hAnsi="Cambria" w:cs="Times New Roman"/>
                <w:b/>
                <w:bCs/>
                <w:sz w:val="24"/>
                <w:szCs w:val="24"/>
                <w:u w:val="single"/>
              </w:rPr>
            </w:pPr>
          </w:p>
        </w:tc>
      </w:tr>
    </w:tbl>
    <w:p w14:paraId="4E6FE98F" w14:textId="77777777" w:rsidR="002C3F8C" w:rsidRPr="002C3F8C" w:rsidRDefault="002C3F8C" w:rsidP="002C3F8C">
      <w:pPr>
        <w:pStyle w:val="ListParagraph"/>
        <w:spacing w:after="0"/>
        <w:ind w:left="0" w:right="-270" w:firstLine="720"/>
        <w:jc w:val="center"/>
        <w:rPr>
          <w:rFonts w:ascii="Cambria" w:hAnsi="Cambria" w:cs="Times New Roman"/>
          <w:b/>
          <w:sz w:val="24"/>
          <w:szCs w:val="24"/>
        </w:rPr>
      </w:pPr>
    </w:p>
    <w:p w14:paraId="365FEC44" w14:textId="77777777" w:rsidR="002C3F8C" w:rsidRPr="002C3F8C" w:rsidRDefault="002C3F8C" w:rsidP="002C3F8C">
      <w:pPr>
        <w:pStyle w:val="ListParagraph"/>
        <w:spacing w:after="0"/>
        <w:ind w:left="0" w:right="-270" w:firstLine="720"/>
        <w:jc w:val="center"/>
        <w:rPr>
          <w:rFonts w:ascii="Cambria" w:hAnsi="Cambria" w:cs="Times New Roman"/>
          <w:b/>
          <w:sz w:val="24"/>
          <w:szCs w:val="24"/>
        </w:rPr>
      </w:pPr>
    </w:p>
    <w:p w14:paraId="18F7B3F6" w14:textId="77777777" w:rsidR="002C3F8C" w:rsidRPr="002C3F8C" w:rsidRDefault="002C3F8C" w:rsidP="002C3F8C">
      <w:pPr>
        <w:pStyle w:val="ListParagraph"/>
        <w:spacing w:after="0"/>
        <w:ind w:left="0" w:right="-270" w:firstLine="720"/>
        <w:jc w:val="center"/>
        <w:rPr>
          <w:rFonts w:ascii="Cambria" w:hAnsi="Cambria" w:cs="Times New Roman"/>
          <w:b/>
          <w:sz w:val="24"/>
          <w:szCs w:val="24"/>
        </w:rPr>
      </w:pPr>
    </w:p>
    <w:p w14:paraId="71BFB43D" w14:textId="77777777" w:rsidR="002C3F8C" w:rsidRPr="002C3F8C" w:rsidRDefault="002C3F8C" w:rsidP="002C3F8C">
      <w:pPr>
        <w:pStyle w:val="ListParagraph"/>
        <w:spacing w:after="0"/>
        <w:ind w:left="0" w:right="-270" w:firstLine="720"/>
        <w:jc w:val="center"/>
        <w:rPr>
          <w:rFonts w:ascii="Cambria" w:hAnsi="Cambria" w:cs="Times New Roman"/>
          <w:b/>
          <w:sz w:val="24"/>
          <w:szCs w:val="24"/>
        </w:rPr>
      </w:pPr>
    </w:p>
    <w:p w14:paraId="62727A20" w14:textId="77777777" w:rsidR="002C3F8C" w:rsidRPr="002C3F8C" w:rsidRDefault="002C3F8C" w:rsidP="002C3F8C">
      <w:pPr>
        <w:pStyle w:val="ListParagraph"/>
        <w:spacing w:after="0"/>
        <w:ind w:left="0" w:right="-270" w:firstLine="720"/>
        <w:jc w:val="center"/>
        <w:rPr>
          <w:rFonts w:ascii="Cambria" w:hAnsi="Cambria" w:cs="Times New Roman"/>
          <w:b/>
          <w:sz w:val="24"/>
          <w:szCs w:val="24"/>
        </w:rPr>
      </w:pPr>
    </w:p>
    <w:p w14:paraId="7E7ACBF8" w14:textId="77777777" w:rsidR="00FB08CF" w:rsidRPr="002C3F8C" w:rsidRDefault="00FB08CF" w:rsidP="002C3F8C">
      <w:pPr>
        <w:rPr>
          <w:rFonts w:ascii="Cambria" w:hAnsi="Cambria"/>
        </w:rPr>
      </w:pPr>
    </w:p>
    <w:sectPr w:rsidR="00FB08CF" w:rsidRPr="002C3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2C3F8C"/>
    <w:rsid w:val="003F79A4"/>
    <w:rsid w:val="00417B9D"/>
    <w:rsid w:val="00A46BFD"/>
    <w:rsid w:val="00BE7B15"/>
    <w:rsid w:val="00CA0F65"/>
    <w:rsid w:val="00D03E69"/>
    <w:rsid w:val="00D3399F"/>
    <w:rsid w:val="00D617E8"/>
    <w:rsid w:val="00D9198E"/>
    <w:rsid w:val="00EF5803"/>
    <w:rsid w:val="00FB08CF"/>
    <w:rsid w:val="00FF258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9</cp:revision>
  <dcterms:created xsi:type="dcterms:W3CDTF">2024-12-04T08:00:00Z</dcterms:created>
  <dcterms:modified xsi:type="dcterms:W3CDTF">2024-12-04T08:12:00Z</dcterms:modified>
</cp:coreProperties>
</file>